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asciiTheme="minorHAnsi" w:cstheme="minorHAnsi" w:hAnsiTheme="minorHAnsi"/>
          <w:b/>
          <w:b/>
          <w:sz w:val="36"/>
          <w:szCs w:val="36"/>
        </w:rPr>
      </w:pPr>
      <w:r>
        <w:rPr>
          <w:rFonts w:cs="Calibri" w:ascii="Calibri" w:hAnsi="Calibri" w:asciiTheme="minorHAnsi" w:cstheme="minorHAnsi" w:hAnsiTheme="minorHAnsi"/>
          <w:b/>
          <w:sz w:val="36"/>
          <w:szCs w:val="36"/>
        </w:rPr>
        <w:t>Project Development Funding</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The Marches LEP Board has agreed to commit up to £300k of LEP funds to support project development activity that meets one or more of the priorities within the:</w:t>
      </w:r>
    </w:p>
    <w:p>
      <w:pPr>
        <w:pStyle w:val="Normal"/>
        <w:ind w:left="36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2"/>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Marches European Structural and Investment (ESIF) Strategy  </w:t>
      </w:r>
    </w:p>
    <w:p>
      <w:pPr>
        <w:pStyle w:val="ListParagraph"/>
        <w:numPr>
          <w:ilvl w:val="0"/>
          <w:numId w:val="2"/>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Marches Strategic Economic Plan (consultation draft 2018)</w:t>
      </w:r>
    </w:p>
    <w:p>
      <w:pPr>
        <w:pStyle w:val="ListParagraph"/>
        <w:numPr>
          <w:ilvl w:val="0"/>
          <w:numId w:val="2"/>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Marches Freight Strategy</w:t>
      </w:r>
    </w:p>
    <w:p>
      <w:pPr>
        <w:pStyle w:val="ListParagraph"/>
        <w:numPr>
          <w:ilvl w:val="0"/>
          <w:numId w:val="2"/>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Marches Energy Strategy</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N.B. All of the above documents can be found in the downloads section on the Marches LEP website </w:t>
      </w:r>
    </w:p>
    <w:p>
      <w:pPr>
        <w:pStyle w:val="Normal"/>
        <w:rPr/>
      </w:pPr>
      <w:hyperlink r:id="rId2">
        <w:r>
          <w:rPr>
            <w:rStyle w:val="InternetLink"/>
            <w:rFonts w:cs="Calibri" w:ascii="Calibri" w:hAnsi="Calibri" w:asciiTheme="minorHAnsi" w:cstheme="minorHAnsi" w:hAnsiTheme="minorHAnsi"/>
            <w:sz w:val="22"/>
            <w:szCs w:val="22"/>
          </w:rPr>
          <w:t>https://www.marcheslep.org.uk/downloads</w:t>
        </w:r>
      </w:hyperlink>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The Marches LEP Board has agreed to support the following activity:</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bl>
      <w:tblPr>
        <w:tblStyle w:val="TableGrid"/>
        <w:tblpPr w:bottomFromText="0" w:horzAnchor="margin" w:leftFromText="180" w:rightFromText="180" w:tblpX="0" w:tblpY="16" w:topFromText="0" w:vertAnchor="text"/>
        <w:tblW w:w="10456" w:type="dxa"/>
        <w:jc w:val="left"/>
        <w:tblInd w:w="108" w:type="dxa"/>
        <w:tblCellMar>
          <w:top w:w="0" w:type="dxa"/>
          <w:left w:w="103" w:type="dxa"/>
          <w:bottom w:w="0" w:type="dxa"/>
          <w:right w:w="108" w:type="dxa"/>
        </w:tblCellMar>
        <w:tblLook w:val="04a0" w:noVBand="1" w:noHBand="0" w:lastColumn="0" w:firstColumn="1" w:lastRow="0" w:firstRow="1"/>
      </w:tblPr>
      <w:tblGrid>
        <w:gridCol w:w="2091"/>
        <w:gridCol w:w="1731"/>
        <w:gridCol w:w="1417"/>
        <w:gridCol w:w="1843"/>
        <w:gridCol w:w="3374"/>
      </w:tblGrid>
      <w:tr>
        <w:trPr/>
        <w:tc>
          <w:tcPr>
            <w:tcW w:w="2091" w:type="dxa"/>
            <w:tcBorders/>
            <w:shd w:color="auto" w:fill="E7E6E6" w:themeFill="background2" w:val="clear"/>
            <w:tcMar>
              <w:left w:w="103" w:type="dxa"/>
            </w:tcMar>
          </w:tcPr>
          <w:p>
            <w:pPr>
              <w:pStyle w:val="Normal"/>
              <w:spacing w:lineRule="auto" w:line="240" w:before="0" w:after="0"/>
              <w:rPr>
                <w:rFonts w:ascii="Times New Roman" w:hAnsi="Times New Roman" w:eastAsia="Times New Roman" w:cs="Calibri" w:cstheme="minorHAnsi"/>
                <w:b/>
                <w:b/>
                <w:sz w:val="22"/>
                <w:szCs w:val="20"/>
                <w:lang w:eastAsia="en-GB"/>
              </w:rPr>
            </w:pPr>
            <w:r>
              <w:rPr>
                <w:rFonts w:eastAsia="Times New Roman" w:cs="Calibri" w:cstheme="minorHAnsi"/>
                <w:b/>
                <w:sz w:val="22"/>
                <w:szCs w:val="20"/>
                <w:lang w:eastAsia="en-GB"/>
              </w:rPr>
            </w:r>
          </w:p>
          <w:p>
            <w:pPr>
              <w:pStyle w:val="Normal"/>
              <w:spacing w:lineRule="auto" w:line="240" w:before="0" w:after="0"/>
              <w:rPr>
                <w:rFonts w:ascii="Calibri" w:hAnsi="Calibri" w:cs="Calibri" w:asciiTheme="minorHAnsi" w:cstheme="minorHAnsi" w:hAnsiTheme="minorHAnsi"/>
                <w:b/>
                <w:b/>
                <w:sz w:val="22"/>
                <w:szCs w:val="22"/>
              </w:rPr>
            </w:pPr>
            <w:r>
              <w:rPr>
                <w:rFonts w:eastAsia="Times New Roman" w:cs="Calibri" w:cstheme="minorHAnsi"/>
                <w:b/>
                <w:sz w:val="22"/>
                <w:szCs w:val="20"/>
                <w:lang w:eastAsia="en-GB"/>
              </w:rPr>
              <w:t>Activity</w:t>
            </w:r>
          </w:p>
        </w:tc>
        <w:tc>
          <w:tcPr>
            <w:tcW w:w="1731" w:type="dxa"/>
            <w:tcBorders/>
            <w:shd w:color="auto" w:fill="E7E6E6" w:themeFill="background2" w:val="clear"/>
            <w:tcMar>
              <w:left w:w="103" w:type="dxa"/>
            </w:tcMar>
          </w:tcPr>
          <w:p>
            <w:pPr>
              <w:pStyle w:val="Normal"/>
              <w:spacing w:lineRule="auto" w:line="240" w:before="0" w:after="0"/>
              <w:rPr>
                <w:rFonts w:ascii="Calibri" w:hAnsi="Calibri" w:cs="Calibri" w:asciiTheme="minorHAnsi" w:cstheme="minorHAnsi" w:hAnsiTheme="minorHAnsi"/>
                <w:b/>
                <w:b/>
                <w:sz w:val="22"/>
                <w:szCs w:val="22"/>
              </w:rPr>
            </w:pPr>
            <w:r>
              <w:rPr>
                <w:rFonts w:eastAsia="Times New Roman" w:cs="Calibri" w:ascii="Calibri" w:hAnsi="Calibri" w:asciiTheme="minorHAnsi" w:cstheme="minorHAnsi" w:hAnsiTheme="minorHAnsi"/>
                <w:b/>
                <w:sz w:val="22"/>
                <w:szCs w:val="22"/>
                <w:lang w:eastAsia="en-GB"/>
              </w:rPr>
              <w:t>Maximum available per project</w:t>
            </w:r>
          </w:p>
        </w:tc>
        <w:tc>
          <w:tcPr>
            <w:tcW w:w="1417" w:type="dxa"/>
            <w:tcBorders/>
            <w:shd w:color="auto" w:fill="E7E6E6" w:themeFill="background2" w:val="clear"/>
            <w:tcMar>
              <w:left w:w="103" w:type="dxa"/>
            </w:tcMar>
          </w:tcPr>
          <w:p>
            <w:pPr>
              <w:pStyle w:val="Normal"/>
              <w:spacing w:lineRule="auto" w:line="240" w:before="0" w:after="0"/>
              <w:rPr>
                <w:rFonts w:ascii="Calibri" w:hAnsi="Calibri" w:cs="Calibri" w:asciiTheme="minorHAnsi" w:cstheme="minorHAnsi" w:hAnsiTheme="minorHAnsi"/>
                <w:b/>
                <w:b/>
                <w:sz w:val="22"/>
                <w:szCs w:val="22"/>
              </w:rPr>
            </w:pPr>
            <w:r>
              <w:rPr>
                <w:rFonts w:eastAsia="Times New Roman" w:cs="Calibri" w:ascii="Calibri" w:hAnsi="Calibri" w:asciiTheme="minorHAnsi" w:cstheme="minorHAnsi" w:hAnsiTheme="minorHAnsi"/>
                <w:b/>
                <w:sz w:val="22"/>
                <w:szCs w:val="22"/>
                <w:lang w:eastAsia="en-GB"/>
              </w:rPr>
              <w:t>%</w:t>
            </w:r>
          </w:p>
        </w:tc>
        <w:tc>
          <w:tcPr>
            <w:tcW w:w="1843" w:type="dxa"/>
            <w:tcBorders/>
            <w:shd w:color="auto" w:fill="E7E6E6" w:themeFill="background2" w:val="clear"/>
            <w:tcMar>
              <w:left w:w="103" w:type="dxa"/>
            </w:tcMar>
          </w:tcPr>
          <w:p>
            <w:pPr>
              <w:pStyle w:val="Normal"/>
              <w:spacing w:lineRule="auto" w:line="240" w:before="0" w:after="0"/>
              <w:rPr>
                <w:rFonts w:ascii="Calibri" w:hAnsi="Calibri" w:cs="Calibri" w:asciiTheme="minorHAnsi" w:cstheme="minorHAnsi" w:hAnsiTheme="minorHAnsi"/>
                <w:b/>
                <w:b/>
                <w:sz w:val="22"/>
                <w:szCs w:val="22"/>
              </w:rPr>
            </w:pPr>
            <w:r>
              <w:rPr>
                <w:rFonts w:eastAsia="Times New Roman" w:cs="Calibri" w:ascii="Calibri" w:hAnsi="Calibri" w:asciiTheme="minorHAnsi" w:cstheme="minorHAnsi" w:hAnsiTheme="minorHAnsi"/>
                <w:b/>
                <w:sz w:val="22"/>
                <w:szCs w:val="22"/>
                <w:lang w:eastAsia="en-GB"/>
              </w:rPr>
              <w:t>Match Funding required</w:t>
            </w:r>
          </w:p>
        </w:tc>
        <w:tc>
          <w:tcPr>
            <w:tcW w:w="3374" w:type="dxa"/>
            <w:tcBorders/>
            <w:shd w:color="auto" w:fill="E7E6E6" w:themeFill="background2" w:val="clear"/>
            <w:tcMar>
              <w:left w:w="103" w:type="dxa"/>
            </w:tcMar>
          </w:tcPr>
          <w:p>
            <w:pPr>
              <w:pStyle w:val="Normal"/>
              <w:spacing w:lineRule="auto" w:line="240" w:before="0" w:after="0"/>
              <w:rPr>
                <w:rFonts w:ascii="Calibri" w:hAnsi="Calibri" w:cs="Calibri" w:asciiTheme="minorHAnsi" w:cstheme="minorHAnsi" w:hAnsiTheme="minorHAnsi"/>
                <w:b/>
                <w:b/>
                <w:sz w:val="22"/>
                <w:szCs w:val="22"/>
              </w:rPr>
            </w:pPr>
            <w:r>
              <w:rPr>
                <w:rFonts w:eastAsia="Times New Roman" w:cs="Calibri" w:ascii="Calibri" w:hAnsi="Calibri" w:asciiTheme="minorHAnsi" w:cstheme="minorHAnsi" w:hAnsiTheme="minorHAnsi"/>
                <w:b/>
                <w:sz w:val="22"/>
                <w:szCs w:val="22"/>
                <w:lang w:eastAsia="en-GB"/>
              </w:rPr>
              <w:t>Examples of activity that can be supported.</w:t>
            </w:r>
          </w:p>
        </w:tc>
      </w:tr>
      <w:tr>
        <w:trPr/>
        <w:tc>
          <w:tcPr>
            <w:tcW w:w="2091" w:type="dxa"/>
            <w:tcBorders/>
            <w:shd w:fill="auto" w:val="clear"/>
            <w:tcMar>
              <w:left w:w="103" w:type="dxa"/>
            </w:tcMar>
          </w:tcPr>
          <w:p>
            <w:pPr>
              <w:pStyle w:val="Normal"/>
              <w:spacing w:lineRule="auto" w:line="240" w:before="0" w:after="0"/>
              <w:rPr>
                <w:rFonts w:ascii="Calibri" w:hAnsi="Calibri" w:cs="Calibri" w:asciiTheme="minorHAnsi" w:cstheme="minorHAnsi" w:hAnsiTheme="minorHAnsi"/>
                <w:sz w:val="22"/>
                <w:szCs w:val="22"/>
              </w:rPr>
            </w:pPr>
            <w:r>
              <w:rPr>
                <w:rFonts w:eastAsia="Times New Roman" w:cs="Calibri" w:ascii="Calibri" w:hAnsi="Calibri" w:asciiTheme="minorHAnsi" w:cstheme="minorHAnsi" w:hAnsiTheme="minorHAnsi"/>
                <w:sz w:val="22"/>
                <w:szCs w:val="22"/>
                <w:lang w:eastAsia="en-GB"/>
              </w:rPr>
              <w:t>Feasibility Study</w:t>
            </w:r>
          </w:p>
        </w:tc>
        <w:tc>
          <w:tcPr>
            <w:tcW w:w="1731" w:type="dxa"/>
            <w:tcBorders/>
            <w:shd w:fill="auto" w:val="clear"/>
            <w:tcMar>
              <w:left w:w="103" w:type="dxa"/>
            </w:tcMar>
          </w:tcPr>
          <w:p>
            <w:pPr>
              <w:pStyle w:val="Normal"/>
              <w:spacing w:lineRule="auto" w:line="240" w:before="0" w:after="0"/>
              <w:rPr>
                <w:rFonts w:ascii="Calibri" w:hAnsi="Calibri" w:cs="Calibri" w:asciiTheme="minorHAnsi" w:cstheme="minorHAnsi" w:hAnsiTheme="minorHAnsi"/>
                <w:sz w:val="22"/>
                <w:szCs w:val="22"/>
              </w:rPr>
            </w:pPr>
            <w:r>
              <w:rPr>
                <w:rFonts w:eastAsia="Times New Roman" w:cs="Calibri" w:ascii="Calibri" w:hAnsi="Calibri" w:asciiTheme="minorHAnsi" w:cstheme="minorHAnsi" w:hAnsiTheme="minorHAnsi"/>
                <w:sz w:val="22"/>
                <w:szCs w:val="22"/>
                <w:lang w:eastAsia="en-GB"/>
              </w:rPr>
              <w:t>£20,000</w:t>
            </w:r>
          </w:p>
        </w:tc>
        <w:tc>
          <w:tcPr>
            <w:tcW w:w="1417" w:type="dxa"/>
            <w:tcBorders/>
            <w:shd w:fill="auto" w:val="clear"/>
            <w:tcMar>
              <w:left w:w="103" w:type="dxa"/>
            </w:tcMar>
          </w:tcPr>
          <w:p>
            <w:pPr>
              <w:pStyle w:val="Normal"/>
              <w:spacing w:lineRule="auto" w:line="240" w:before="0" w:after="0"/>
              <w:rPr>
                <w:rFonts w:ascii="Calibri" w:hAnsi="Calibri" w:cs="Calibri" w:asciiTheme="minorHAnsi" w:cstheme="minorHAnsi" w:hAnsiTheme="minorHAnsi"/>
                <w:sz w:val="22"/>
                <w:szCs w:val="22"/>
              </w:rPr>
            </w:pPr>
            <w:r>
              <w:rPr>
                <w:rFonts w:eastAsia="Times New Roman" w:cs="Calibri" w:ascii="Calibri" w:hAnsi="Calibri" w:asciiTheme="minorHAnsi" w:cstheme="minorHAnsi" w:hAnsiTheme="minorHAnsi"/>
                <w:sz w:val="22"/>
                <w:szCs w:val="22"/>
                <w:lang w:eastAsia="en-GB"/>
              </w:rPr>
              <w:t>80%</w:t>
            </w:r>
          </w:p>
        </w:tc>
        <w:tc>
          <w:tcPr>
            <w:tcW w:w="1843" w:type="dxa"/>
            <w:tcBorders/>
            <w:shd w:fill="auto" w:val="clear"/>
            <w:tcMar>
              <w:left w:w="103" w:type="dxa"/>
            </w:tcMar>
          </w:tcPr>
          <w:p>
            <w:pPr>
              <w:pStyle w:val="Normal"/>
              <w:spacing w:lineRule="auto" w:line="240" w:before="0" w:after="0"/>
              <w:rPr>
                <w:rFonts w:ascii="Calibri" w:hAnsi="Calibri" w:cs="Calibri" w:asciiTheme="minorHAnsi" w:cstheme="minorHAnsi" w:hAnsiTheme="minorHAnsi"/>
                <w:sz w:val="22"/>
                <w:szCs w:val="22"/>
              </w:rPr>
            </w:pPr>
            <w:r>
              <w:rPr>
                <w:rFonts w:eastAsia="Times New Roman" w:cs="Calibri" w:ascii="Calibri" w:hAnsi="Calibri" w:asciiTheme="minorHAnsi" w:cstheme="minorHAnsi" w:hAnsiTheme="minorHAnsi"/>
                <w:sz w:val="22"/>
                <w:szCs w:val="22"/>
                <w:lang w:eastAsia="en-GB"/>
              </w:rPr>
              <w:t>20% (cash contribution)</w:t>
            </w:r>
          </w:p>
        </w:tc>
        <w:tc>
          <w:tcPr>
            <w:tcW w:w="3374" w:type="dxa"/>
            <w:tcBorders/>
            <w:shd w:fill="auto" w:val="clear"/>
            <w:tcMar>
              <w:left w:w="103" w:type="dxa"/>
            </w:tcMar>
          </w:tcPr>
          <w:p>
            <w:pPr>
              <w:pStyle w:val="Normal"/>
              <w:spacing w:lineRule="auto" w:line="240" w:before="0" w:after="0"/>
              <w:rPr>
                <w:rFonts w:ascii="Calibri" w:hAnsi="Calibri" w:cs="Calibri" w:asciiTheme="minorHAnsi" w:cstheme="minorHAnsi" w:hAnsiTheme="minorHAnsi"/>
                <w:sz w:val="22"/>
                <w:szCs w:val="22"/>
              </w:rPr>
            </w:pPr>
            <w:r>
              <w:rPr>
                <w:rFonts w:eastAsia="Times New Roman" w:cs="Calibri" w:ascii="Calibri" w:hAnsi="Calibri" w:asciiTheme="minorHAnsi" w:cstheme="minorHAnsi" w:hAnsiTheme="minorHAnsi"/>
                <w:sz w:val="22"/>
                <w:szCs w:val="22"/>
                <w:lang w:eastAsia="en-GB"/>
              </w:rPr>
              <w:t>Feasibility around specific sites and projects.</w:t>
            </w:r>
          </w:p>
          <w:p>
            <w:pPr>
              <w:pStyle w:val="Normal"/>
              <w:spacing w:lineRule="auto" w:line="240" w:before="0" w:after="0"/>
              <w:rPr>
                <w:rFonts w:ascii="Calibri" w:hAnsi="Calibri" w:eastAsia="Times New Roman" w:cs="Calibri" w:asciiTheme="minorHAnsi" w:cstheme="minorHAnsi" w:hAnsiTheme="minorHAnsi"/>
                <w:sz w:val="22"/>
                <w:szCs w:val="22"/>
                <w:lang w:eastAsia="en-GB"/>
              </w:rPr>
            </w:pPr>
            <w:r>
              <w:rPr>
                <w:rFonts w:eastAsia="Times New Roman" w:cs="Calibri" w:cstheme="minorHAnsi" w:ascii="Calibri" w:hAnsi="Calibri"/>
                <w:sz w:val="22"/>
                <w:szCs w:val="22"/>
                <w:lang w:eastAsia="en-GB"/>
              </w:rPr>
            </w:r>
          </w:p>
        </w:tc>
      </w:tr>
      <w:tr>
        <w:trPr/>
        <w:tc>
          <w:tcPr>
            <w:tcW w:w="2091" w:type="dxa"/>
            <w:tcBorders/>
            <w:shd w:fill="auto" w:val="clear"/>
            <w:tcMar>
              <w:left w:w="103" w:type="dxa"/>
            </w:tcMar>
          </w:tcPr>
          <w:p>
            <w:pPr>
              <w:pStyle w:val="Normal"/>
              <w:spacing w:lineRule="auto" w:line="240" w:before="0" w:after="0"/>
              <w:rPr>
                <w:rFonts w:ascii="Calibri" w:hAnsi="Calibri" w:cs="Calibri" w:asciiTheme="minorHAnsi" w:cstheme="minorHAnsi" w:hAnsiTheme="minorHAnsi"/>
                <w:sz w:val="22"/>
                <w:szCs w:val="22"/>
              </w:rPr>
            </w:pPr>
            <w:r>
              <w:rPr>
                <w:rFonts w:eastAsia="Times New Roman" w:cs="Calibri" w:ascii="Calibri" w:hAnsi="Calibri" w:asciiTheme="minorHAnsi" w:cstheme="minorHAnsi" w:hAnsiTheme="minorHAnsi"/>
                <w:sz w:val="22"/>
                <w:szCs w:val="22"/>
                <w:lang w:eastAsia="en-GB"/>
              </w:rPr>
              <w:t>Project Development Costs</w:t>
            </w:r>
          </w:p>
        </w:tc>
        <w:tc>
          <w:tcPr>
            <w:tcW w:w="1731" w:type="dxa"/>
            <w:tcBorders/>
            <w:shd w:fill="auto" w:val="clear"/>
            <w:tcMar>
              <w:left w:w="103" w:type="dxa"/>
            </w:tcMar>
          </w:tcPr>
          <w:p>
            <w:pPr>
              <w:pStyle w:val="Normal"/>
              <w:spacing w:lineRule="auto" w:line="240" w:before="0" w:after="0"/>
              <w:rPr>
                <w:rFonts w:ascii="Calibri" w:hAnsi="Calibri" w:cs="Calibri" w:asciiTheme="minorHAnsi" w:cstheme="minorHAnsi" w:hAnsiTheme="minorHAnsi"/>
                <w:sz w:val="22"/>
                <w:szCs w:val="22"/>
              </w:rPr>
            </w:pPr>
            <w:r>
              <w:rPr>
                <w:rFonts w:eastAsia="Times New Roman" w:cs="Calibri" w:ascii="Calibri" w:hAnsi="Calibri" w:asciiTheme="minorHAnsi" w:cstheme="minorHAnsi" w:hAnsiTheme="minorHAnsi"/>
                <w:sz w:val="22"/>
                <w:szCs w:val="22"/>
                <w:lang w:eastAsia="en-GB"/>
              </w:rPr>
              <w:t>£30,000</w:t>
            </w:r>
          </w:p>
        </w:tc>
        <w:tc>
          <w:tcPr>
            <w:tcW w:w="1417" w:type="dxa"/>
            <w:tcBorders/>
            <w:shd w:fill="auto" w:val="clear"/>
            <w:tcMar>
              <w:left w:w="103" w:type="dxa"/>
            </w:tcMar>
          </w:tcPr>
          <w:p>
            <w:pPr>
              <w:pStyle w:val="Normal"/>
              <w:spacing w:lineRule="auto" w:line="240" w:before="0" w:after="0"/>
              <w:rPr>
                <w:rFonts w:ascii="Calibri" w:hAnsi="Calibri" w:cs="Calibri" w:asciiTheme="minorHAnsi" w:cstheme="minorHAnsi" w:hAnsiTheme="minorHAnsi"/>
                <w:sz w:val="22"/>
                <w:szCs w:val="22"/>
              </w:rPr>
            </w:pPr>
            <w:r>
              <w:rPr>
                <w:rFonts w:eastAsia="Times New Roman" w:cs="Calibri" w:ascii="Calibri" w:hAnsi="Calibri" w:asciiTheme="minorHAnsi" w:cstheme="minorHAnsi" w:hAnsiTheme="minorHAnsi"/>
                <w:sz w:val="22"/>
                <w:szCs w:val="22"/>
                <w:lang w:eastAsia="en-GB"/>
              </w:rPr>
              <w:t>80%</w:t>
            </w:r>
          </w:p>
        </w:tc>
        <w:tc>
          <w:tcPr>
            <w:tcW w:w="1843" w:type="dxa"/>
            <w:tcBorders/>
            <w:shd w:fill="auto" w:val="clear"/>
            <w:tcMar>
              <w:left w:w="103" w:type="dxa"/>
            </w:tcMar>
          </w:tcPr>
          <w:p>
            <w:pPr>
              <w:pStyle w:val="Normal"/>
              <w:spacing w:lineRule="auto" w:line="240" w:before="0" w:after="0"/>
              <w:rPr>
                <w:rFonts w:ascii="Calibri" w:hAnsi="Calibri" w:cs="Calibri" w:asciiTheme="minorHAnsi" w:cstheme="minorHAnsi" w:hAnsiTheme="minorHAnsi"/>
                <w:sz w:val="22"/>
                <w:szCs w:val="22"/>
              </w:rPr>
            </w:pPr>
            <w:r>
              <w:rPr>
                <w:rFonts w:eastAsia="Times New Roman" w:cs="Calibri" w:ascii="Calibri" w:hAnsi="Calibri" w:asciiTheme="minorHAnsi" w:cstheme="minorHAnsi" w:hAnsiTheme="minorHAnsi"/>
                <w:sz w:val="22"/>
                <w:szCs w:val="22"/>
                <w:lang w:eastAsia="en-GB"/>
              </w:rPr>
              <w:t>20% (cash contribution)</w:t>
            </w:r>
          </w:p>
        </w:tc>
        <w:tc>
          <w:tcPr>
            <w:tcW w:w="3374" w:type="dxa"/>
            <w:tcBorders/>
            <w:shd w:fill="auto" w:val="clear"/>
            <w:tcMar>
              <w:left w:w="103" w:type="dxa"/>
            </w:tcMar>
          </w:tcPr>
          <w:p>
            <w:pPr>
              <w:pStyle w:val="Normal"/>
              <w:spacing w:lineRule="auto" w:line="240" w:before="0" w:after="0"/>
              <w:rPr>
                <w:rFonts w:ascii="Calibri" w:hAnsi="Calibri" w:cs="Calibri" w:asciiTheme="minorHAnsi" w:cstheme="minorHAnsi" w:hAnsiTheme="minorHAnsi"/>
                <w:sz w:val="22"/>
                <w:szCs w:val="22"/>
              </w:rPr>
            </w:pPr>
            <w:r>
              <w:rPr>
                <w:rFonts w:eastAsia="Times New Roman" w:cs="Calibri" w:ascii="Calibri" w:hAnsi="Calibri" w:asciiTheme="minorHAnsi" w:cstheme="minorHAnsi" w:hAnsiTheme="minorHAnsi"/>
                <w:sz w:val="22"/>
                <w:szCs w:val="22"/>
                <w:lang w:eastAsia="en-GB"/>
              </w:rPr>
              <w:t xml:space="preserve">Surveys, design and plans. </w:t>
            </w:r>
          </w:p>
        </w:tc>
      </w:tr>
      <w:tr>
        <w:trPr/>
        <w:tc>
          <w:tcPr>
            <w:tcW w:w="2091" w:type="dxa"/>
            <w:tcBorders/>
            <w:shd w:fill="auto" w:val="clear"/>
            <w:tcMar>
              <w:left w:w="103" w:type="dxa"/>
            </w:tcMar>
          </w:tcPr>
          <w:p>
            <w:pPr>
              <w:pStyle w:val="Normal"/>
              <w:spacing w:lineRule="auto" w:line="240" w:before="0" w:after="0"/>
              <w:rPr>
                <w:rFonts w:ascii="Calibri" w:hAnsi="Calibri" w:cs="Calibri" w:asciiTheme="minorHAnsi" w:cstheme="minorHAnsi" w:hAnsiTheme="minorHAnsi"/>
                <w:sz w:val="22"/>
                <w:szCs w:val="22"/>
              </w:rPr>
            </w:pPr>
            <w:r>
              <w:rPr>
                <w:rFonts w:eastAsia="Times New Roman" w:cs="Calibri" w:ascii="Calibri" w:hAnsi="Calibri" w:asciiTheme="minorHAnsi" w:cstheme="minorHAnsi" w:hAnsiTheme="minorHAnsi"/>
                <w:sz w:val="22"/>
                <w:szCs w:val="22"/>
                <w:lang w:eastAsia="en-GB"/>
              </w:rPr>
              <w:t>Business Support Projects</w:t>
            </w:r>
          </w:p>
        </w:tc>
        <w:tc>
          <w:tcPr>
            <w:tcW w:w="1731" w:type="dxa"/>
            <w:tcBorders/>
            <w:shd w:fill="auto" w:val="clear"/>
            <w:tcMar>
              <w:left w:w="103" w:type="dxa"/>
            </w:tcMar>
          </w:tcPr>
          <w:p>
            <w:pPr>
              <w:pStyle w:val="Normal"/>
              <w:spacing w:lineRule="auto" w:line="240" w:before="0" w:after="0"/>
              <w:rPr>
                <w:rFonts w:ascii="Calibri" w:hAnsi="Calibri" w:cs="Calibri" w:asciiTheme="minorHAnsi" w:cstheme="minorHAnsi" w:hAnsiTheme="minorHAnsi"/>
                <w:sz w:val="22"/>
                <w:szCs w:val="22"/>
              </w:rPr>
            </w:pPr>
            <w:r>
              <w:rPr>
                <w:rFonts w:eastAsia="Times New Roman" w:cs="Calibri" w:ascii="Calibri" w:hAnsi="Calibri" w:asciiTheme="minorHAnsi" w:cstheme="minorHAnsi" w:hAnsiTheme="minorHAnsi"/>
                <w:sz w:val="22"/>
                <w:szCs w:val="22"/>
                <w:lang w:eastAsia="en-GB"/>
              </w:rPr>
              <w:t>£25,000</w:t>
            </w:r>
          </w:p>
        </w:tc>
        <w:tc>
          <w:tcPr>
            <w:tcW w:w="1417" w:type="dxa"/>
            <w:tcBorders/>
            <w:shd w:fill="auto" w:val="clear"/>
            <w:tcMar>
              <w:left w:w="103" w:type="dxa"/>
            </w:tcMar>
          </w:tcPr>
          <w:p>
            <w:pPr>
              <w:pStyle w:val="Normal"/>
              <w:spacing w:lineRule="auto" w:line="240" w:before="0" w:after="0"/>
              <w:rPr>
                <w:rFonts w:ascii="Calibri" w:hAnsi="Calibri" w:cs="Calibri" w:asciiTheme="minorHAnsi" w:cstheme="minorHAnsi" w:hAnsiTheme="minorHAnsi"/>
                <w:sz w:val="22"/>
                <w:szCs w:val="22"/>
              </w:rPr>
            </w:pPr>
            <w:r>
              <w:rPr>
                <w:rFonts w:eastAsia="Times New Roman" w:cs="Calibri" w:ascii="Calibri" w:hAnsi="Calibri" w:asciiTheme="minorHAnsi" w:cstheme="minorHAnsi" w:hAnsiTheme="minorHAnsi"/>
                <w:sz w:val="22"/>
                <w:szCs w:val="22"/>
                <w:lang w:eastAsia="en-GB"/>
              </w:rPr>
              <w:t>N/A</w:t>
            </w:r>
          </w:p>
        </w:tc>
        <w:tc>
          <w:tcPr>
            <w:tcW w:w="1843" w:type="dxa"/>
            <w:tcBorders/>
            <w:shd w:fill="auto" w:val="clear"/>
            <w:tcMar>
              <w:left w:w="103" w:type="dxa"/>
            </w:tcMar>
          </w:tcPr>
          <w:p>
            <w:pPr>
              <w:pStyle w:val="Normal"/>
              <w:spacing w:lineRule="auto" w:line="240" w:before="0" w:after="0"/>
              <w:rPr>
                <w:rFonts w:ascii="Calibri" w:hAnsi="Calibri" w:cs="Calibri" w:asciiTheme="minorHAnsi" w:cstheme="minorHAnsi" w:hAnsiTheme="minorHAnsi"/>
                <w:sz w:val="22"/>
                <w:szCs w:val="22"/>
              </w:rPr>
            </w:pPr>
            <w:r>
              <w:rPr>
                <w:rFonts w:eastAsia="Times New Roman" w:cs="Calibri" w:ascii="Calibri" w:hAnsi="Calibri" w:asciiTheme="minorHAnsi" w:cstheme="minorHAnsi" w:hAnsiTheme="minorHAnsi"/>
                <w:sz w:val="22"/>
                <w:szCs w:val="22"/>
                <w:lang w:eastAsia="en-GB"/>
              </w:rPr>
              <w:t>N/A</w:t>
            </w:r>
          </w:p>
        </w:tc>
        <w:tc>
          <w:tcPr>
            <w:tcW w:w="3374" w:type="dxa"/>
            <w:tcBorders/>
            <w:shd w:fill="auto" w:val="clear"/>
            <w:tcMar>
              <w:left w:w="103" w:type="dxa"/>
            </w:tcMar>
          </w:tcPr>
          <w:p>
            <w:pPr>
              <w:pStyle w:val="Normal"/>
              <w:spacing w:lineRule="auto" w:line="240" w:before="0" w:after="0"/>
              <w:rPr>
                <w:rFonts w:ascii="Calibri" w:hAnsi="Calibri" w:cs="Calibri" w:asciiTheme="minorHAnsi" w:cstheme="minorHAnsi" w:hAnsiTheme="minorHAnsi"/>
                <w:sz w:val="22"/>
                <w:szCs w:val="22"/>
              </w:rPr>
            </w:pPr>
            <w:r>
              <w:rPr>
                <w:rFonts w:eastAsia="Times New Roman" w:cs="Calibri" w:ascii="Calibri" w:hAnsi="Calibri" w:asciiTheme="minorHAnsi" w:cstheme="minorHAnsi" w:hAnsiTheme="minorHAnsi"/>
                <w:sz w:val="22"/>
                <w:szCs w:val="22"/>
                <w:lang w:eastAsia="en-GB"/>
              </w:rPr>
              <w:t>Business support projects that will expand or sustain the range of products that the Marches Growth Hub can deliver to Marches SMEs.</w:t>
            </w:r>
          </w:p>
        </w:tc>
      </w:tr>
    </w:tbl>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i/>
          <w:i/>
          <w:sz w:val="22"/>
          <w:szCs w:val="22"/>
          <w:u w:val="single"/>
        </w:rPr>
      </w:pPr>
      <w:r>
        <w:rPr>
          <w:rFonts w:cs="Calibri" w:ascii="Calibri" w:hAnsi="Calibri" w:asciiTheme="minorHAnsi" w:cstheme="minorHAnsi" w:hAnsiTheme="minorHAnsi"/>
          <w:i/>
          <w:sz w:val="22"/>
          <w:szCs w:val="22"/>
          <w:u w:val="single"/>
        </w:rPr>
        <w:t>Please note: If requesting development funds for projects that will be applying for European Regional Development Funds (ERDF) and European Social Funds (ESF), support will only be provided for work towards the full application.</w:t>
      </w:r>
    </w:p>
    <w:p>
      <w:pPr>
        <w:pStyle w:val="Normal"/>
        <w:rPr>
          <w:rFonts w:ascii="Calibri" w:hAnsi="Calibri" w:cs="Calibri" w:asciiTheme="minorHAnsi" w:cstheme="minorHAnsi" w:hAnsiTheme="minorHAnsi"/>
          <w:i/>
          <w:i/>
          <w:sz w:val="22"/>
          <w:szCs w:val="22"/>
          <w:u w:val="single"/>
        </w:rPr>
      </w:pPr>
      <w:r>
        <w:rPr>
          <w:rFonts w:cs="Calibri" w:cstheme="minorHAnsi" w:ascii="Calibri" w:hAnsi="Calibri"/>
          <w:i/>
          <w:sz w:val="22"/>
          <w:szCs w:val="22"/>
          <w:u w:val="single"/>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Projects need to support economic growth and help in achieving the following outputs:</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bl>
      <w:tblPr>
        <w:tblW w:w="5000" w:type="pct"/>
        <w:jc w:val="left"/>
        <w:tblInd w:w="98" w:type="dxa"/>
        <w:tblBorders>
          <w:top w:val="single" w:sz="8" w:space="0" w:color="000001"/>
          <w:left w:val="single" w:sz="8" w:space="0" w:color="000001"/>
          <w:right w:val="single" w:sz="8" w:space="0" w:color="000001"/>
          <w:insideV w:val="single" w:sz="8" w:space="0" w:color="000001"/>
        </w:tblBorders>
        <w:tblCellMar>
          <w:top w:w="0" w:type="dxa"/>
          <w:left w:w="98" w:type="dxa"/>
          <w:bottom w:w="0" w:type="dxa"/>
          <w:right w:w="108" w:type="dxa"/>
        </w:tblCellMar>
        <w:tblLook w:val="0000" w:noVBand="0" w:noHBand="0" w:lastColumn="0" w:firstColumn="0" w:lastRow="0" w:firstRow="0"/>
      </w:tblPr>
      <w:tblGrid>
        <w:gridCol w:w="3044"/>
        <w:gridCol w:w="7421"/>
      </w:tblGrid>
      <w:tr>
        <w:trPr>
          <w:trHeight w:val="300" w:hRule="atLeast"/>
        </w:trPr>
        <w:tc>
          <w:tcPr>
            <w:tcW w:w="3044" w:type="dxa"/>
            <w:tcBorders>
              <w:top w:val="single" w:sz="8" w:space="0" w:color="000001"/>
              <w:left w:val="single" w:sz="8" w:space="0" w:color="000001"/>
              <w:right w:val="single" w:sz="8" w:space="0" w:color="000001"/>
              <w:insideV w:val="single" w:sz="8" w:space="0" w:color="000001"/>
            </w:tcBorders>
            <w:shd w:color="auto" w:fill="D9D9D9" w:val="clear"/>
            <w:tcMar>
              <w:left w:w="98" w:type="dxa"/>
            </w:tcMar>
            <w:vAlign w:val="center"/>
          </w:tcPr>
          <w:p>
            <w:pPr>
              <w:pStyle w:val="Normal"/>
              <w:jc w:val="center"/>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color w:val="000000"/>
                <w:sz w:val="22"/>
                <w:szCs w:val="22"/>
              </w:rPr>
              <w:t xml:space="preserve">Description </w:t>
            </w:r>
          </w:p>
        </w:tc>
        <w:tc>
          <w:tcPr>
            <w:tcW w:w="7421" w:type="dxa"/>
            <w:tcBorders>
              <w:top w:val="single" w:sz="8" w:space="0" w:color="000001"/>
              <w:right w:val="single" w:sz="8" w:space="0" w:color="000001"/>
              <w:insideV w:val="single" w:sz="8" w:space="0" w:color="000001"/>
            </w:tcBorders>
            <w:shd w:color="auto" w:fill="D9D9D9" w:val="clear"/>
            <w:vAlign w:val="center"/>
          </w:tcPr>
          <w:p>
            <w:pPr>
              <w:pStyle w:val="Normal"/>
              <w:jc w:val="center"/>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color w:val="000000"/>
                <w:sz w:val="22"/>
                <w:szCs w:val="22"/>
              </w:rPr>
              <w:t>Definition (MHCLG - Growth Deal Guidance - Version 3. August 2018)</w:t>
            </w:r>
          </w:p>
        </w:tc>
      </w:tr>
      <w:tr>
        <w:trPr>
          <w:trHeight w:val="315" w:hRule="atLeast"/>
        </w:trPr>
        <w:tc>
          <w:tcPr>
            <w:tcW w:w="1046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9D9D9" w:val="clear"/>
            <w:tcMar>
              <w:left w:w="98" w:type="dxa"/>
            </w:tcMar>
            <w:vAlign w:val="bottom"/>
          </w:tcPr>
          <w:p>
            <w:pPr>
              <w:pStyle w:val="Normal"/>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color w:val="000000"/>
                <w:sz w:val="22"/>
                <w:szCs w:val="22"/>
              </w:rPr>
              <w:t>Employment</w:t>
            </w:r>
          </w:p>
        </w:tc>
      </w:tr>
      <w:tr>
        <w:trPr>
          <w:trHeight w:val="3000" w:hRule="atLeast"/>
        </w:trPr>
        <w:tc>
          <w:tcPr>
            <w:tcW w:w="3044" w:type="dxa"/>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color="auto" w:fill="auto" w:val="clear"/>
            <w:tcMar>
              <w:left w:w="98" w:type="dxa"/>
            </w:tcMar>
            <w:vAlign w:val="center"/>
          </w:tcPr>
          <w:p>
            <w:pPr>
              <w:pStyle w:val="Normal"/>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Jobs Created/Safeguarded</w:t>
            </w:r>
          </w:p>
        </w:tc>
        <w:tc>
          <w:tcPr>
            <w:tcW w:w="7421" w:type="dxa"/>
            <w:tcBorders>
              <w:top w:val="single" w:sz="8" w:space="0" w:color="000001"/>
              <w:bottom w:val="single" w:sz="4" w:space="0" w:color="000001"/>
              <w:right w:val="single" w:sz="8" w:space="0" w:color="000001"/>
              <w:insideH w:val="single" w:sz="4" w:space="0" w:color="000001"/>
              <w:insideV w:val="single" w:sz="8" w:space="0" w:color="000001"/>
            </w:tcBorders>
            <w:shd w:color="auto" w:fill="auto" w:val="clear"/>
            <w:vAlign w:val="bottom"/>
          </w:tcPr>
          <w:p>
            <w:pPr>
              <w:pStyle w:val="Normal"/>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The total number of newly created and safeguarded permanent full-time equivalent jobs as a direct result of the intervention at predetermined employment sites. Employment sites include:</w:t>
              <w:br/>
              <w:t xml:space="preserve">   </w:t>
              <w:br/>
              <w:t>• Occupied newly developed commercial premises,</w:t>
              <w:br/>
              <w:t xml:space="preserve">• the premises of supported enterprises, </w:t>
              <w:br/>
              <w:t xml:space="preserve">• FE space directly improved or constructed by the intervention. </w:t>
              <w:br/>
              <w:br/>
              <w:t>Created and safeguarded jobs exclude those created solely to deliver the intervention (e.g. construction). A job is deemed as permanent if it lasts at least a year.</w:t>
            </w:r>
          </w:p>
        </w:tc>
      </w:tr>
      <w:tr>
        <w:trPr>
          <w:trHeight w:val="315" w:hRule="atLeast"/>
        </w:trPr>
        <w:tc>
          <w:tcPr>
            <w:tcW w:w="3044" w:type="dxa"/>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vAlign w:val="center"/>
          </w:tcPr>
          <w:p>
            <w:pPr>
              <w:pStyle w:val="Normal"/>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Apprenticeships</w:t>
            </w:r>
          </w:p>
        </w:tc>
        <w:tc>
          <w:tcPr>
            <w:tcW w:w="7421" w:type="dxa"/>
            <w:tcBorders>
              <w:bottom w:val="single" w:sz="8" w:space="0" w:color="000001"/>
              <w:right w:val="single" w:sz="8" w:space="0" w:color="000001"/>
              <w:insideH w:val="single" w:sz="8" w:space="0" w:color="000001"/>
              <w:insideV w:val="single" w:sz="8" w:space="0" w:color="000001"/>
            </w:tcBorders>
            <w:shd w:color="auto" w:fill="auto" w:val="clear"/>
            <w:vAlign w:val="bottom"/>
          </w:tcPr>
          <w:p>
            <w:pPr>
              <w:pStyle w:val="Normal"/>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Number of apprenticeship positions created as a direct result of the intervention.</w:t>
            </w:r>
          </w:p>
        </w:tc>
      </w:tr>
      <w:tr>
        <w:trPr>
          <w:trHeight w:val="315" w:hRule="atLeast"/>
        </w:trPr>
        <w:tc>
          <w:tcPr>
            <w:tcW w:w="1046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9D9D9" w:val="clear"/>
            <w:tcMar>
              <w:left w:w="98" w:type="dxa"/>
            </w:tcMar>
            <w:vAlign w:val="bottom"/>
          </w:tcPr>
          <w:p>
            <w:pPr>
              <w:pStyle w:val="Normal"/>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color w:val="000000"/>
                <w:sz w:val="22"/>
                <w:szCs w:val="22"/>
              </w:rPr>
              <w:t>Housing</w:t>
            </w:r>
          </w:p>
        </w:tc>
      </w:tr>
      <w:tr>
        <w:trPr>
          <w:trHeight w:val="554" w:hRule="atLeast"/>
        </w:trPr>
        <w:tc>
          <w:tcPr>
            <w:tcW w:w="3044" w:type="dxa"/>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Housing Units Completed</w:t>
            </w:r>
          </w:p>
        </w:tc>
        <w:tc>
          <w:tcPr>
            <w:tcW w:w="7421" w:type="dxa"/>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color="auto" w:fill="auto" w:val="clear"/>
            <w:tcMar>
              <w:left w:w="98" w:type="dxa"/>
            </w:tcMar>
            <w:vAlign w:val="bottom"/>
          </w:tcPr>
          <w:p>
            <w:pPr>
              <w:pStyle w:val="Normal"/>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At the impact site, the number of completed housing units.</w:t>
              <w:br/>
              <w:t xml:space="preserve">Complete refers to physical completion of the individual unit, or, in the case of flats, on physical completion of the block. </w:t>
              <w:br/>
              <w:t>Housing unit refers to one discrete housing unit (e.g. house, flat, live/work), regardless of size.</w:t>
            </w:r>
          </w:p>
        </w:tc>
      </w:tr>
      <w:tr>
        <w:trPr>
          <w:trHeight w:val="315" w:hRule="atLeast"/>
        </w:trPr>
        <w:tc>
          <w:tcPr>
            <w:tcW w:w="1046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9D9D9" w:val="clear"/>
            <w:tcMar>
              <w:left w:w="98" w:type="dxa"/>
            </w:tcMar>
            <w:vAlign w:val="bottom"/>
          </w:tcPr>
          <w:p>
            <w:pPr>
              <w:pStyle w:val="Normal"/>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color w:val="000000"/>
                <w:sz w:val="22"/>
                <w:szCs w:val="22"/>
              </w:rPr>
              <w:t>Transport</w:t>
            </w:r>
          </w:p>
        </w:tc>
      </w:tr>
      <w:tr>
        <w:trPr>
          <w:trHeight w:val="300" w:hRule="atLeast"/>
        </w:trPr>
        <w:tc>
          <w:tcPr>
            <w:tcW w:w="3044" w:type="dxa"/>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Length of Road Resurfaced this Period</w:t>
            </w:r>
          </w:p>
        </w:tc>
        <w:tc>
          <w:tcPr>
            <w:tcW w:w="7421" w:type="dxa"/>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color="auto" w:fill="auto" w:val="clear"/>
            <w:tcMar>
              <w:left w:w="98" w:type="dxa"/>
            </w:tcMar>
            <w:vAlign w:val="bottom"/>
          </w:tcPr>
          <w:p>
            <w:pPr>
              <w:pStyle w:val="Normal"/>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Length of road for which maintenance works have been completed this quarter (km).</w:t>
            </w:r>
          </w:p>
        </w:tc>
      </w:tr>
      <w:tr>
        <w:trPr>
          <w:trHeight w:val="300" w:hRule="atLeast"/>
        </w:trPr>
        <w:tc>
          <w:tcPr>
            <w:tcW w:w="3044" w:type="dxa"/>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Length of Newly Built Road this period</w:t>
            </w:r>
          </w:p>
        </w:tc>
        <w:tc>
          <w:tcPr>
            <w:tcW w:w="7421" w:type="dxa"/>
            <w:tcBorders>
              <w:left w:val="single" w:sz="8" w:space="0" w:color="000001"/>
              <w:bottom w:val="single" w:sz="4" w:space="0" w:color="000001"/>
              <w:right w:val="single" w:sz="8" w:space="0" w:color="000001"/>
              <w:insideH w:val="single" w:sz="4" w:space="0" w:color="000001"/>
              <w:insideV w:val="single" w:sz="8" w:space="0" w:color="000001"/>
            </w:tcBorders>
            <w:shd w:color="auto" w:fill="auto" w:val="clear"/>
            <w:tcMar>
              <w:left w:w="98" w:type="dxa"/>
            </w:tcMar>
            <w:vAlign w:val="bottom"/>
          </w:tcPr>
          <w:p>
            <w:pPr>
              <w:pStyle w:val="Normal"/>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Length of road for which works have been completed and now open for public use (this quarter) (km).</w:t>
            </w:r>
          </w:p>
        </w:tc>
      </w:tr>
      <w:tr>
        <w:trPr>
          <w:trHeight w:val="315" w:hRule="atLeast"/>
        </w:trPr>
        <w:tc>
          <w:tcPr>
            <w:tcW w:w="1046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9D9D9" w:val="clear"/>
            <w:tcMar>
              <w:left w:w="98" w:type="dxa"/>
            </w:tcMar>
            <w:vAlign w:val="bottom"/>
          </w:tcPr>
          <w:p>
            <w:pPr>
              <w:pStyle w:val="Normal"/>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color w:val="000000"/>
                <w:sz w:val="22"/>
                <w:szCs w:val="22"/>
              </w:rPr>
              <w:t>Skills and Education</w:t>
            </w:r>
          </w:p>
        </w:tc>
      </w:tr>
      <w:tr>
        <w:trPr>
          <w:trHeight w:val="315" w:hRule="atLeast"/>
        </w:trPr>
        <w:tc>
          <w:tcPr>
            <w:tcW w:w="3044" w:type="dxa"/>
            <w:tcBorders>
              <w:top w:val="single" w:sz="4" w:space="0" w:color="000001"/>
              <w:left w:val="single" w:sz="8" w:space="0" w:color="000001"/>
              <w:right w:val="single" w:sz="4" w:space="0" w:color="000001"/>
              <w:insideV w:val="single" w:sz="4" w:space="0" w:color="000001"/>
            </w:tcBorders>
            <w:shd w:color="auto" w:fill="auto" w:val="clear"/>
            <w:tcMar>
              <w:left w:w="98" w:type="dxa"/>
            </w:tcMar>
            <w:vAlign w:val="center"/>
          </w:tcPr>
          <w:p>
            <w:pPr>
              <w:pStyle w:val="Normal"/>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sz w:val="22"/>
                <w:szCs w:val="22"/>
              </w:rPr>
              <w:t>Number of New Learners Assisted (in courses leading to a full qualification)</w:t>
            </w:r>
          </w:p>
        </w:tc>
        <w:tc>
          <w:tcPr>
            <w:tcW w:w="7421" w:type="dxa"/>
            <w:tcBorders>
              <w:left w:val="single" w:sz="8" w:space="0" w:color="000001"/>
              <w:right w:val="single" w:sz="8" w:space="0" w:color="000001"/>
              <w:insideV w:val="single" w:sz="8" w:space="0" w:color="000001"/>
            </w:tcBorders>
            <w:shd w:color="auto" w:fill="auto" w:val="clear"/>
            <w:tcMar>
              <w:left w:w="98" w:type="dxa"/>
            </w:tcMar>
          </w:tcPr>
          <w:p>
            <w:pPr>
              <w:pStyle w:val="Normal"/>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sz w:val="22"/>
                <w:szCs w:val="22"/>
              </w:rPr>
              <w:t>The number of new learners assisted as a direct result of the intervention, in courses leading to a full qualification.</w:t>
            </w:r>
          </w:p>
        </w:tc>
      </w:tr>
      <w:tr>
        <w:trPr>
          <w:trHeight w:val="315" w:hRule="atLeast"/>
        </w:trPr>
        <w:tc>
          <w:tcPr>
            <w:tcW w:w="1046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9D9D9" w:val="clear"/>
            <w:tcMar>
              <w:left w:w="98" w:type="dxa"/>
            </w:tcMar>
            <w:vAlign w:val="bottom"/>
          </w:tcPr>
          <w:p>
            <w:pPr>
              <w:pStyle w:val="Normal"/>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color w:val="000000"/>
                <w:sz w:val="22"/>
                <w:szCs w:val="22"/>
              </w:rPr>
              <w:t>Business and Enterprise</w:t>
            </w:r>
          </w:p>
        </w:tc>
      </w:tr>
      <w:tr>
        <w:trPr>
          <w:trHeight w:val="600" w:hRule="atLeast"/>
        </w:trPr>
        <w:tc>
          <w:tcPr>
            <w:tcW w:w="3044" w:type="dxa"/>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Number of enterprises receiving grant support</w:t>
            </w:r>
          </w:p>
        </w:tc>
        <w:tc>
          <w:tcPr>
            <w:tcW w:w="7421" w:type="dxa"/>
            <w:tcBorders>
              <w:top w:val="single" w:sz="8" w:space="0" w:color="000001"/>
              <w:left w:val="single" w:sz="8" w:space="0" w:color="000001"/>
              <w:right w:val="single" w:sz="8" w:space="0" w:color="000001"/>
              <w:insideV w:val="single" w:sz="8" w:space="0" w:color="000001"/>
            </w:tcBorders>
            <w:shd w:color="auto" w:fill="auto" w:val="clear"/>
            <w:tcMar>
              <w:left w:w="98" w:type="dxa"/>
            </w:tcMar>
            <w:vAlign w:val="center"/>
          </w:tcPr>
          <w:p>
            <w:pPr>
              <w:pStyle w:val="Normal"/>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Number of SMEs receiving grant funding support with the intention of improving performance (i.e. reduce costs, increase turnover/profit, innovation, exporting). To be counted where the support is at least £1,000.</w:t>
            </w:r>
          </w:p>
        </w:tc>
      </w:tr>
      <w:tr>
        <w:trPr>
          <w:trHeight w:val="900" w:hRule="atLeast"/>
        </w:trPr>
        <w:tc>
          <w:tcPr>
            <w:tcW w:w="3044" w:type="dxa"/>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Number of enterprises receiving financial support other than grants </w:t>
            </w:r>
          </w:p>
        </w:tc>
        <w:tc>
          <w:tcPr>
            <w:tcW w:w="7421" w:type="dxa"/>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color="auto" w:fill="auto" w:val="clear"/>
            <w:tcMar>
              <w:left w:w="98" w:type="dxa"/>
            </w:tcMar>
            <w:vAlign w:val="center"/>
          </w:tcPr>
          <w:p>
            <w:pPr>
              <w:pStyle w:val="Normal"/>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Number of SMEs receiving funding support in the form of equity or repayable loan instruments with the intention of improving performance (i.e. reduce costs, increase turnover/profit, innovation, exporting). Counted where amount of support is at least £1,000.</w:t>
            </w:r>
          </w:p>
        </w:tc>
      </w:tr>
      <w:tr>
        <w:trPr>
          <w:trHeight w:val="915" w:hRule="atLeast"/>
        </w:trPr>
        <w:tc>
          <w:tcPr>
            <w:tcW w:w="3044" w:type="dxa"/>
            <w:tcBorders>
              <w:top w:val="single" w:sz="4" w:space="0" w:color="000001"/>
              <w:left w:val="single" w:sz="8" w:space="0" w:color="000001"/>
              <w:bottom w:val="single" w:sz="8" w:space="0" w:color="000001"/>
              <w:right w:val="single" w:sz="4" w:space="0" w:color="000001"/>
              <w:insideH w:val="single" w:sz="8" w:space="0" w:color="000001"/>
              <w:insideV w:val="single" w:sz="4" w:space="0" w:color="000001"/>
            </w:tcBorders>
            <w:shd w:color="auto" w:fill="auto" w:val="clear"/>
            <w:tcMar>
              <w:left w:w="98" w:type="dxa"/>
            </w:tcMar>
            <w:vAlign w:val="center"/>
          </w:tcPr>
          <w:p>
            <w:pPr>
              <w:pStyle w:val="Normal"/>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Number of enterprises receiving non-financial support</w:t>
            </w:r>
          </w:p>
        </w:tc>
        <w:tc>
          <w:tcPr>
            <w:tcW w:w="7421" w:type="dxa"/>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vAlign w:val="center"/>
          </w:tcPr>
          <w:p>
            <w:pPr>
              <w:pStyle w:val="Normal"/>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Number of SMEs receiving support (inc. advice and training) with the intention of improving performance (i.e. reduce costs, increase turnover/profit, innovation, exporting). Value of the support should be a minimum of £1,000, calculated at Gross Grant Equivalent (see ERDF g</w:t>
            </w:r>
            <w:bookmarkStart w:id="0" w:name="_GoBack"/>
            <w:bookmarkEnd w:id="0"/>
            <w:r>
              <w:rPr>
                <w:rFonts w:cs="Calibri" w:ascii="Calibri" w:hAnsi="Calibri" w:asciiTheme="minorHAnsi" w:cstheme="minorHAnsi" w:hAnsiTheme="minorHAnsi"/>
                <w:color w:val="000000"/>
                <w:sz w:val="22"/>
                <w:szCs w:val="22"/>
              </w:rPr>
              <w:t>uidance) or a minimum of 2 days of consulting advice.</w:t>
            </w:r>
          </w:p>
        </w:tc>
      </w:tr>
    </w:tbl>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b/>
          <w:b/>
          <w:sz w:val="22"/>
          <w:szCs w:val="22"/>
        </w:rPr>
      </w:pPr>
      <w:r>
        <w:rPr>
          <w:rFonts w:cs="Calibri" w:ascii="Calibri" w:hAnsi="Calibri" w:asciiTheme="minorHAnsi" w:cstheme="minorHAnsi" w:hAnsiTheme="minorHAnsi"/>
          <w:b/>
          <w:i/>
          <w:sz w:val="22"/>
          <w:szCs w:val="22"/>
        </w:rPr>
        <w:t xml:space="preserve">N.B For feasibility study and project development applications for funding we will be seeking an indication of the types and potential levels of the outputs to be delivered whereas for Business Support Project proposals we will require details of the actual outputs that will be delivered.  </w:t>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rPr>
          <w:rFonts w:ascii="Calibri" w:hAnsi="Calibri" w:cs="Calibri" w:asciiTheme="minorHAnsi" w:cstheme="minorHAnsi" w:hAnsiTheme="minorHAnsi"/>
          <w:b/>
          <w:b/>
          <w:sz w:val="22"/>
          <w:szCs w:val="22"/>
          <w:u w:val="single"/>
        </w:rPr>
      </w:pPr>
      <w:r>
        <w:rPr>
          <w:rFonts w:cs="Calibri" w:ascii="Calibri" w:hAnsi="Calibri" w:asciiTheme="minorHAnsi" w:cstheme="minorHAnsi" w:hAnsiTheme="minorHAnsi"/>
          <w:b/>
          <w:sz w:val="22"/>
          <w:szCs w:val="22"/>
          <w:u w:val="single"/>
        </w:rPr>
        <w:t xml:space="preserve">Bidding criteria for applicants </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The funds are available for organisations that have a track record in delivering economic development projects and initiatives, including local authorities, colleges, training providers, universities, charities and not-for-profit organisations.</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Requests for support must be for specific costs relating to procured activity, including surveys, impact assessments, designs, specifications and research activities. Staff salaries and other internal costs incurred by applicants will not be eligible.</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The contracts let through this scheme should follow public procurement rules for contracting authorities and national rules for non-contracting authorities.</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The costs associated with the project feasibility studies or project development costs must be substantiated by providing 3 quotes, enabling the LEP to determine a Value for Money exercise has been undertaken.</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The first deadline for submission of bid proposals will be </w:t>
      </w:r>
      <w:r>
        <w:rPr>
          <w:rFonts w:cs="Calibri" w:ascii="Calibri" w:hAnsi="Calibri" w:asciiTheme="minorHAnsi" w:cstheme="minorHAnsi" w:hAnsiTheme="minorHAnsi"/>
          <w:b/>
          <w:sz w:val="22"/>
          <w:szCs w:val="22"/>
        </w:rPr>
        <w:t>31 January 2019.</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color w:val="FF0000"/>
          <w:sz w:val="22"/>
          <w:szCs w:val="22"/>
        </w:rPr>
        <w:t xml:space="preserve"> </w:t>
      </w:r>
    </w:p>
    <w:p>
      <w:pPr>
        <w:pStyle w:val="Normal"/>
        <w:rPr>
          <w:rFonts w:ascii="Calibri" w:hAnsi="Calibri" w:cs="Calibri" w:asciiTheme="minorHAnsi" w:cstheme="minorHAnsi" w:hAnsiTheme="minorHAnsi"/>
          <w:b/>
          <w:b/>
          <w:sz w:val="22"/>
          <w:szCs w:val="22"/>
          <w:u w:val="single"/>
        </w:rPr>
      </w:pPr>
      <w:r>
        <w:rPr>
          <w:rFonts w:cs="Calibri" w:cstheme="minorHAnsi" w:ascii="Calibri" w:hAnsi="Calibri"/>
          <w:b/>
          <w:sz w:val="22"/>
          <w:szCs w:val="22"/>
          <w:u w:val="single"/>
        </w:rPr>
      </w:r>
    </w:p>
    <w:p>
      <w:pPr>
        <w:pStyle w:val="Normal"/>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b/>
          <w:sz w:val="22"/>
          <w:szCs w:val="22"/>
          <w:u w:val="single"/>
        </w:rPr>
        <w:t>Assessment of the bids</w:t>
      </w:r>
      <w:r>
        <w:rPr>
          <w:rFonts w:cs="Calibri" w:ascii="Calibri" w:hAnsi="Calibri" w:asciiTheme="minorHAnsi" w:cstheme="minorHAnsi" w:hAnsiTheme="minorHAnsi"/>
          <w:sz w:val="22"/>
          <w:szCs w:val="22"/>
          <w:u w:val="single"/>
        </w:rPr>
        <w:t xml:space="preserve"> </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This will be undertaken by a small panel comprising the LEP Director, members of the LEP Team and the ERDF and ESF Technical Assistance staff</w:t>
      </w:r>
      <w:r>
        <w:rPr>
          <w:rFonts w:cs="Calibri" w:ascii="Calibri" w:hAnsi="Calibri" w:asciiTheme="minorHAnsi" w:cstheme="minorHAnsi" w:hAnsiTheme="minorHAnsi"/>
          <w:b/>
          <w:sz w:val="22"/>
          <w:szCs w:val="22"/>
        </w:rPr>
        <w:t xml:space="preserve">. </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The project appraisal criteria reflect those identified in the LEP’s Accountability and Assurance framework. These include:</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3"/>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Delivery of SEP strategic priorities and other LEP strategies’ priorities as appropriate.</w:t>
      </w:r>
    </w:p>
    <w:p>
      <w:pPr>
        <w:pStyle w:val="ListParagraph"/>
        <w:numPr>
          <w:ilvl w:val="0"/>
          <w:numId w:val="3"/>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Economic growth potential (including jobs, housing and private sector leverage).</w:t>
      </w:r>
    </w:p>
    <w:p>
      <w:pPr>
        <w:pStyle w:val="ListParagraph"/>
        <w:numPr>
          <w:ilvl w:val="0"/>
          <w:numId w:val="3"/>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Project delivery options and timescales for delivery of the project and an assessment of value for money.</w:t>
      </w:r>
    </w:p>
    <w:p>
      <w:pPr>
        <w:pStyle w:val="ListParagrap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pPr>
      <w:r>
        <w:rPr>
          <w:rFonts w:cs="Calibri" w:ascii="Calibri" w:hAnsi="Calibri" w:asciiTheme="minorHAnsi" w:cstheme="minorHAnsi" w:hAnsiTheme="minorHAnsi"/>
          <w:sz w:val="22"/>
          <w:szCs w:val="22"/>
        </w:rPr>
        <w:t xml:space="preserve">You can access the Marches LEP Accountability and Assurance Framework via the Marches LEP website downloads section </w:t>
      </w:r>
      <w:hyperlink r:id="rId3">
        <w:r>
          <w:rPr>
            <w:rStyle w:val="InternetLink"/>
            <w:rFonts w:cs="Calibri" w:ascii="Calibri" w:hAnsi="Calibri" w:asciiTheme="minorHAnsi" w:cstheme="minorHAnsi" w:hAnsiTheme="minorHAnsi"/>
            <w:sz w:val="22"/>
            <w:szCs w:val="22"/>
          </w:rPr>
          <w:t>https://www.marcheslep.org.uk/downloads</w:t>
        </w:r>
      </w:hyperlink>
      <w:r>
        <w:rPr>
          <w:rFonts w:cs="Calibri" w:ascii="Calibri" w:hAnsi="Calibri" w:asciiTheme="minorHAnsi" w:cstheme="minorHAnsi" w:hAnsiTheme="minorHAnsi"/>
          <w:sz w:val="22"/>
          <w:szCs w:val="22"/>
        </w:rPr>
        <w:t>.</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As it is a competitive process, the assessment criteria and scoring will be based the following:</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1"/>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Delivery against the priorities in the strategies listed above (Yes/No)</w:t>
      </w:r>
    </w:p>
    <w:p>
      <w:pPr>
        <w:pStyle w:val="ListParagraph"/>
        <w:numPr>
          <w:ilvl w:val="0"/>
          <w:numId w:val="1"/>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Economic growth potential (including jobs, housing and private sector leverage) (45%)</w:t>
      </w:r>
    </w:p>
    <w:p>
      <w:pPr>
        <w:pStyle w:val="ListParagraph"/>
        <w:numPr>
          <w:ilvl w:val="0"/>
          <w:numId w:val="1"/>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Project delivery options (15%)</w:t>
      </w:r>
    </w:p>
    <w:p>
      <w:pPr>
        <w:pStyle w:val="ListParagraph"/>
        <w:numPr>
          <w:ilvl w:val="0"/>
          <w:numId w:val="1"/>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Timescales for delivery (15%)</w:t>
      </w:r>
    </w:p>
    <w:p>
      <w:pPr>
        <w:pStyle w:val="ListParagraph"/>
        <w:numPr>
          <w:ilvl w:val="0"/>
          <w:numId w:val="1"/>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Assessment of value for money (25%)</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All activity must be completed and paid for by the end of July 2019. </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If you would like to chat through any of your proposals, then please use the contacts below:</w:t>
      </w:r>
    </w:p>
    <w:p>
      <w:pPr>
        <w:pStyle w:val="Normal"/>
        <w:tabs>
          <w:tab w:val="left" w:pos="3840" w:leader="none"/>
        </w:tabs>
        <w:rPr>
          <w:rFonts w:ascii="Calibri" w:hAnsi="Calibri" w:cs="Calibri" w:asciiTheme="minorHAnsi" w:cstheme="minorHAnsi" w:hAnsiTheme="minorHAnsi"/>
          <w:b/>
          <w:b/>
          <w:sz w:val="22"/>
          <w:szCs w:val="22"/>
          <w:u w:val="single"/>
        </w:rPr>
      </w:pPr>
      <w:r>
        <w:rPr>
          <w:rFonts w:cs="Calibri" w:cstheme="minorHAnsi" w:ascii="Calibri" w:hAnsi="Calibri"/>
          <w:b/>
          <w:sz w:val="22"/>
          <w:szCs w:val="22"/>
          <w:u w:val="single"/>
        </w:rPr>
      </w:r>
    </w:p>
    <w:p>
      <w:pPr>
        <w:pStyle w:val="Normal"/>
        <w:tabs>
          <w:tab w:val="left" w:pos="3840" w:leader="none"/>
        </w:tabs>
        <w:rPr/>
      </w:pPr>
      <w:r>
        <w:rPr>
          <w:rFonts w:cs="Calibri" w:ascii="Calibri" w:hAnsi="Calibri" w:asciiTheme="minorHAnsi" w:cstheme="minorHAnsi" w:hAnsiTheme="minorHAnsi"/>
          <w:sz w:val="22"/>
          <w:szCs w:val="22"/>
        </w:rPr>
        <w:t xml:space="preserve">Nick Alamanos (Marches LEP Programme Manager) - 01743 462026 / </w:t>
      </w:r>
      <w:hyperlink r:id="rId4">
        <w:r>
          <w:rPr>
            <w:rStyle w:val="InternetLink"/>
            <w:rFonts w:cs="Calibri" w:ascii="Calibri" w:hAnsi="Calibri" w:asciiTheme="minorHAnsi" w:cstheme="minorHAnsi" w:hAnsiTheme="minorHAnsi"/>
            <w:sz w:val="22"/>
            <w:szCs w:val="22"/>
          </w:rPr>
          <w:t>nicholas.alamanos@marcheslep.org.uk</w:t>
        </w:r>
      </w:hyperlink>
      <w:r>
        <w:rPr>
          <w:rFonts w:cs="Calibri" w:ascii="Calibri" w:hAnsi="Calibri" w:asciiTheme="minorHAnsi" w:cstheme="minorHAnsi" w:hAnsiTheme="minorHAnsi"/>
          <w:sz w:val="22"/>
          <w:szCs w:val="22"/>
        </w:rPr>
        <w:t xml:space="preserve"> </w:t>
      </w:r>
    </w:p>
    <w:p>
      <w:pPr>
        <w:pStyle w:val="Normal"/>
        <w:rPr/>
      </w:pPr>
      <w:r>
        <w:rPr>
          <w:rFonts w:cs="Calibri" w:ascii="Calibri" w:hAnsi="Calibri" w:asciiTheme="minorHAnsi" w:cstheme="minorHAnsi" w:hAnsiTheme="minorHAnsi"/>
          <w:sz w:val="22"/>
          <w:szCs w:val="22"/>
        </w:rPr>
        <w:t xml:space="preserve">Gary Spence (ERDF Technical Assistance) - 01743 252976 / </w:t>
      </w:r>
      <w:hyperlink r:id="rId5">
        <w:r>
          <w:rPr>
            <w:rStyle w:val="InternetLink"/>
            <w:rFonts w:cs="Calibri" w:ascii="Calibri" w:hAnsi="Calibri" w:asciiTheme="minorHAnsi" w:cstheme="minorHAnsi" w:hAnsiTheme="minorHAnsi"/>
            <w:sz w:val="22"/>
            <w:szCs w:val="22"/>
          </w:rPr>
          <w:t>gary.spence@shropshire.gov.uk</w:t>
        </w:r>
      </w:hyperlink>
      <w:r>
        <w:rPr>
          <w:rFonts w:cs="Calibri" w:ascii="Calibri" w:hAnsi="Calibri" w:asciiTheme="minorHAnsi" w:cstheme="minorHAnsi" w:hAnsiTheme="minorHAnsi"/>
          <w:sz w:val="22"/>
          <w:szCs w:val="22"/>
        </w:rPr>
        <w:t xml:space="preserve"> </w:t>
      </w:r>
    </w:p>
    <w:sectPr>
      <w:headerReference w:type="default" r:id="rId6"/>
      <w:footerReference w:type="default" r:id="rId7"/>
      <w:type w:val="nextPage"/>
      <w:pgSz w:w="11906" w:h="16838"/>
      <w:pgMar w:left="720" w:right="720" w:header="708" w:top="765" w:footer="708" w:bottom="765"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49809115"/>
    </w:sdtPr>
    <w:sdtContent>
      <w:p>
        <w:pPr>
          <w:pStyle w:val="Footer"/>
          <w:jc w:val="center"/>
          <w:rPr/>
        </w:pPr>
        <w:r>
          <w:rPr>
            <w:rFonts w:cs="Calibri" w:ascii="Calibri" w:hAnsi="Calibri" w:asciiTheme="minorHAnsi" w:cstheme="minorHAnsi" w:hAnsiTheme="minorHAnsi"/>
            <w:sz w:val="22"/>
            <w:szCs w:val="22"/>
          </w:rPr>
          <w:fldChar w:fldCharType="begin"/>
        </w:r>
        <w:r>
          <w:instrText> PAGE </w:instrText>
        </w:r>
        <w:r>
          <w:fldChar w:fldCharType="separate"/>
        </w:r>
        <w:r>
          <w:t>3</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drawing>
        <wp:inline distT="0" distB="0" distL="0" distR="0">
          <wp:extent cx="1779905" cy="72517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1"/>
                  <a:stretch>
                    <a:fillRect/>
                  </a:stretch>
                </pic:blipFill>
                <pic:spPr bwMode="auto">
                  <a:xfrm>
                    <a:off x="0" y="0"/>
                    <a:ext cx="1779905" cy="725170"/>
                  </a:xfrm>
                  <a:prstGeom prst="rect">
                    <a:avLst/>
                  </a:prstGeom>
                </pic:spPr>
              </pic:pic>
            </a:graphicData>
          </a:graphic>
        </wp:inline>
      </w:drawing>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Arial" w:hAnsi="Arial" w:cs="Arial" w:hint="default"/>
        <w:sz w:val="22"/>
        <w:rFonts w:cs="Aria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114b6"/>
    <w:pPr>
      <w:widowControl/>
      <w:bidi w:val="0"/>
      <w:spacing w:lineRule="auto" w:line="240" w:before="0" w:after="0"/>
      <w:jc w:val="left"/>
    </w:pPr>
    <w:rPr>
      <w:rFonts w:ascii="Times New Roman" w:hAnsi="Times New Roman" w:eastAsia="Times New Roman" w:cs="Times New Roman"/>
      <w:color w:val="auto"/>
      <w:sz w:val="24"/>
      <w:szCs w:val="24"/>
      <w:lang w:eastAsia="en-GB" w:val="en-GB"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nhideWhenUsed/>
    <w:rsid w:val="00d114b6"/>
    <w:rPr>
      <w:color w:val="0563C1" w:themeColor="hyperlink"/>
      <w:u w:val="single"/>
    </w:rPr>
  </w:style>
  <w:style w:type="character" w:styleId="UnresolvedMention">
    <w:name w:val="Unresolved Mention"/>
    <w:basedOn w:val="DefaultParagraphFont"/>
    <w:uiPriority w:val="99"/>
    <w:semiHidden/>
    <w:unhideWhenUsed/>
    <w:qFormat/>
    <w:rsid w:val="001258f5"/>
    <w:rPr>
      <w:color w:val="808080"/>
      <w:shd w:fill="E6E6E6" w:val="clear"/>
    </w:rPr>
  </w:style>
  <w:style w:type="character" w:styleId="BalloonTextChar" w:customStyle="1">
    <w:name w:val="Balloon Text Char"/>
    <w:basedOn w:val="DefaultParagraphFont"/>
    <w:link w:val="BalloonText"/>
    <w:uiPriority w:val="99"/>
    <w:semiHidden/>
    <w:qFormat/>
    <w:rsid w:val="00ec6f82"/>
    <w:rPr>
      <w:rFonts w:ascii="Segoe UI" w:hAnsi="Segoe UI" w:eastAsia="Times New Roman" w:cs="Segoe UI"/>
      <w:sz w:val="18"/>
      <w:szCs w:val="18"/>
      <w:lang w:eastAsia="en-GB"/>
    </w:rPr>
  </w:style>
  <w:style w:type="character" w:styleId="HeaderChar" w:customStyle="1">
    <w:name w:val="Header Char"/>
    <w:basedOn w:val="DefaultParagraphFont"/>
    <w:link w:val="Header"/>
    <w:uiPriority w:val="99"/>
    <w:qFormat/>
    <w:rsid w:val="00f22511"/>
    <w:rPr>
      <w:rFonts w:ascii="Times New Roman" w:hAnsi="Times New Roman" w:eastAsia="Times New Roman" w:cs="Times New Roman"/>
      <w:sz w:val="24"/>
      <w:szCs w:val="24"/>
      <w:lang w:eastAsia="en-GB"/>
    </w:rPr>
  </w:style>
  <w:style w:type="character" w:styleId="FooterChar" w:customStyle="1">
    <w:name w:val="Footer Char"/>
    <w:basedOn w:val="DefaultParagraphFont"/>
    <w:link w:val="Footer"/>
    <w:uiPriority w:val="99"/>
    <w:qFormat/>
    <w:rsid w:val="00f22511"/>
    <w:rPr>
      <w:rFonts w:ascii="Times New Roman" w:hAnsi="Times New Roman" w:eastAsia="Times New Roman" w:cs="Times New Roman"/>
      <w:sz w:val="24"/>
      <w:szCs w:val="24"/>
      <w:lang w:eastAsia="en-GB"/>
    </w:rPr>
  </w:style>
  <w:style w:type="character" w:styleId="ListLabel1">
    <w:name w:val="ListLabel 1"/>
    <w:qFormat/>
    <w:rPr>
      <w:rFonts w:eastAsia="Times New Roman" w:cs="Arial"/>
      <w:sz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d114b6"/>
    <w:pPr>
      <w:ind w:left="720" w:hanging="0"/>
    </w:pPr>
    <w:rPr/>
  </w:style>
  <w:style w:type="paragraph" w:styleId="BalloonText">
    <w:name w:val="Balloon Text"/>
    <w:basedOn w:val="Normal"/>
    <w:link w:val="BalloonTextChar"/>
    <w:uiPriority w:val="99"/>
    <w:semiHidden/>
    <w:unhideWhenUsed/>
    <w:qFormat/>
    <w:rsid w:val="00ec6f82"/>
    <w:pPr/>
    <w:rPr>
      <w:rFonts w:ascii="Segoe UI" w:hAnsi="Segoe UI" w:cs="Segoe UI"/>
      <w:sz w:val="18"/>
      <w:szCs w:val="18"/>
    </w:rPr>
  </w:style>
  <w:style w:type="paragraph" w:styleId="Header">
    <w:name w:val="Header"/>
    <w:basedOn w:val="Normal"/>
    <w:link w:val="HeaderChar"/>
    <w:uiPriority w:val="99"/>
    <w:unhideWhenUsed/>
    <w:rsid w:val="00f22511"/>
    <w:pPr>
      <w:tabs>
        <w:tab w:val="center" w:pos="4513" w:leader="none"/>
        <w:tab w:val="right" w:pos="9026" w:leader="none"/>
      </w:tabs>
    </w:pPr>
    <w:rPr/>
  </w:style>
  <w:style w:type="paragraph" w:styleId="Footer">
    <w:name w:val="Footer"/>
    <w:basedOn w:val="Normal"/>
    <w:link w:val="FooterChar"/>
    <w:uiPriority w:val="99"/>
    <w:unhideWhenUsed/>
    <w:rsid w:val="00f22511"/>
    <w:pPr>
      <w:tabs>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d114b6"/>
    <w:pPr>
      <w:spacing w:after="0" w:line="240" w:lineRule="auto"/>
    </w:pPr>
    <w:rPr>
      <w:lang w:eastAsia="en-GB"/>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archeslep.org.uk/downloads" TargetMode="External"/><Relationship Id="rId3" Type="http://schemas.openxmlformats.org/officeDocument/2006/relationships/hyperlink" Target="https://www.marcheslep.org.uk/downloads" TargetMode="External"/><Relationship Id="rId4" Type="http://schemas.openxmlformats.org/officeDocument/2006/relationships/hyperlink" Target="mailto:nicholas.alamanos@marcheslep.org.uk" TargetMode="External"/><Relationship Id="rId5" Type="http://schemas.openxmlformats.org/officeDocument/2006/relationships/hyperlink" Target="mailto:gary.spence@shropshire.gov.uk"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LibreOffice/5.3.7.2$MacOSX_X86_64 LibreOffice_project/6b8ed514a9f8b44d37a1b96673cbbdd077e24059</Application>
  <Pages>4</Pages>
  <Words>967</Words>
  <Characters>5609</Characters>
  <CharactersWithSpaces>6507</CharactersWithSpaces>
  <Paragraphs>82</Paragraphs>
  <Company>Shropshire Council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2018-12-13T14:33:00Z</dcterms:created>
  <dc:creator>Hannah Owen</dc:creator>
  <dc:description/>
  <dc:language>en-GB</dc:language>
  <cp:lastModifiedBy>Nicholas Alamanos</cp:lastModifiedBy>
  <cp:lastPrinted>2018-12-10T11:29:00Z</cp:lastPrinted>
  <dcterms:modified xsi:type="dcterms:W3CDTF">2018-12-13T14:55:00Z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Shropshire Council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